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167B1" w14:textId="5040B653" w:rsidR="00137EA2" w:rsidRPr="008A3805" w:rsidRDefault="00BB143A" w:rsidP="00BB143A">
      <w:pPr>
        <w:jc w:val="center"/>
        <w:rPr>
          <w:b/>
          <w:bCs/>
          <w:u w:val="single"/>
        </w:rPr>
      </w:pPr>
      <w:r w:rsidRPr="008A3805">
        <w:rPr>
          <w:b/>
          <w:bCs/>
          <w:i/>
          <w:iCs/>
          <w:u w:val="single"/>
        </w:rPr>
        <w:t xml:space="preserve">AGNI </w:t>
      </w:r>
      <w:r w:rsidRPr="008A3805">
        <w:rPr>
          <w:b/>
          <w:bCs/>
          <w:u w:val="single"/>
        </w:rPr>
        <w:t>[2026] UKSC 16</w:t>
      </w:r>
    </w:p>
    <w:p w14:paraId="60D9886E" w14:textId="240F93CD" w:rsidR="00BB143A" w:rsidRDefault="008A3805" w:rsidP="00BB143A">
      <w:pPr>
        <w:jc w:val="center"/>
        <w:rPr>
          <w:u w:val="single"/>
        </w:rPr>
      </w:pPr>
      <w:r>
        <w:rPr>
          <w:u w:val="single"/>
        </w:rPr>
        <w:t>Note for Re X judges</w:t>
      </w:r>
    </w:p>
    <w:p w14:paraId="253C326C" w14:textId="77777777" w:rsidR="008A3805" w:rsidRDefault="008A3805" w:rsidP="00BB143A">
      <w:pPr>
        <w:jc w:val="center"/>
        <w:rPr>
          <w:u w:val="single"/>
        </w:rPr>
      </w:pPr>
    </w:p>
    <w:p w14:paraId="39902FE1" w14:textId="635FD0D0" w:rsidR="008A3805" w:rsidRPr="008A3805" w:rsidRDefault="008A3805" w:rsidP="008A3805">
      <w:pPr>
        <w:jc w:val="both"/>
      </w:pPr>
      <w:r>
        <w:t>This morning the Supreme Court handed down a judgment which rewrites the meaning of ‘deprivation of liberty’:</w:t>
      </w:r>
    </w:p>
    <w:p w14:paraId="72303427" w14:textId="6659CAF3" w:rsidR="008A3805" w:rsidRDefault="008A3805" w:rsidP="008A3805">
      <w:pPr>
        <w:jc w:val="both"/>
        <w:rPr>
          <w:u w:val="single"/>
        </w:rPr>
      </w:pPr>
      <w:hyperlink r:id="rId5" w:tgtFrame="_blank" w:tooltip="https://supremecourt.uk/cases/uksc-2025-0042" w:history="1">
        <w:r>
          <w:rPr>
            <w:rStyle w:val="Emphasis"/>
            <w:rFonts w:ascii="Verdana" w:hAnsi="Verdana"/>
            <w:color w:val="0000FF"/>
            <w:sz w:val="28"/>
            <w:szCs w:val="28"/>
            <w:u w:val="single"/>
          </w:rPr>
          <w:t>A Reference by the Attorney General for Northern Ireland of a devolution issue under paragraph 34 of Schedule 10 to the Northern Ireland Act 1998</w:t>
        </w:r>
        <w:r>
          <w:rPr>
            <w:rStyle w:val="v1apple-converted-space"/>
            <w:rFonts w:ascii="Verdana" w:hAnsi="Verdana"/>
            <w:color w:val="0000FF"/>
            <w:sz w:val="28"/>
            <w:szCs w:val="28"/>
            <w:u w:val="single"/>
          </w:rPr>
          <w:t> </w:t>
        </w:r>
        <w:r>
          <w:rPr>
            <w:rStyle w:val="Hyperlink"/>
            <w:rFonts w:ascii="Verdana" w:hAnsi="Verdana"/>
            <w:sz w:val="28"/>
            <w:szCs w:val="28"/>
          </w:rPr>
          <w:t>[2026] UKSC 16</w:t>
        </w:r>
      </w:hyperlink>
    </w:p>
    <w:p w14:paraId="6E04079D" w14:textId="77777777" w:rsidR="008A3805" w:rsidRDefault="008A3805" w:rsidP="008A3805">
      <w:pPr>
        <w:jc w:val="both"/>
        <w:rPr>
          <w:u w:val="single"/>
        </w:rPr>
      </w:pPr>
    </w:p>
    <w:p w14:paraId="79B01366" w14:textId="6AEF3F41" w:rsidR="008A3805" w:rsidRDefault="008A3805" w:rsidP="008A3805">
      <w:pPr>
        <w:jc w:val="both"/>
      </w:pPr>
      <w:r w:rsidRPr="008A3805">
        <w:t xml:space="preserve">This note is </w:t>
      </w:r>
      <w:r>
        <w:t xml:space="preserve">intended to give immediate assistance to </w:t>
      </w:r>
      <w:r w:rsidRPr="008A3805">
        <w:rPr>
          <w:i/>
          <w:iCs/>
        </w:rPr>
        <w:t>Re X</w:t>
      </w:r>
      <w:r>
        <w:t xml:space="preserve"> judges but more specific guidance will follow as soon as possible.</w:t>
      </w:r>
    </w:p>
    <w:p w14:paraId="66DEB174" w14:textId="77777777" w:rsidR="008A3805" w:rsidRPr="008A3805" w:rsidRDefault="008A3805" w:rsidP="008A3805">
      <w:pPr>
        <w:jc w:val="both"/>
      </w:pPr>
    </w:p>
    <w:p w14:paraId="483FC31E" w14:textId="1F3B445B" w:rsidR="00BB143A" w:rsidRDefault="00BB143A" w:rsidP="00BB143A">
      <w:pPr>
        <w:pStyle w:val="ListParagraph"/>
        <w:numPr>
          <w:ilvl w:val="0"/>
          <w:numId w:val="1"/>
        </w:numPr>
        <w:jc w:val="both"/>
      </w:pPr>
      <w:r>
        <w:t xml:space="preserve">With immediate effect, </w:t>
      </w:r>
      <w:r w:rsidRPr="00BB143A">
        <w:rPr>
          <w:i/>
          <w:iCs/>
        </w:rPr>
        <w:t xml:space="preserve">Cheshire West </w:t>
      </w:r>
      <w:r>
        <w:t>is not good law and cannot be followed.</w:t>
      </w:r>
    </w:p>
    <w:p w14:paraId="6CC78615" w14:textId="4409B668" w:rsidR="00BB143A" w:rsidRDefault="00BB143A" w:rsidP="00BB143A">
      <w:pPr>
        <w:ind w:left="360"/>
        <w:jc w:val="both"/>
      </w:pPr>
    </w:p>
    <w:p w14:paraId="5E32C078" w14:textId="77777777" w:rsidR="00BB143A" w:rsidRDefault="00BB143A" w:rsidP="00BB143A">
      <w:pPr>
        <w:pStyle w:val="ListParagraph"/>
        <w:numPr>
          <w:ilvl w:val="0"/>
          <w:numId w:val="1"/>
        </w:numPr>
        <w:jc w:val="both"/>
      </w:pPr>
      <w:r>
        <w:t>Whether a situation amounts to ‘deprivation of liberty’ is to be determined by application of ‘a multifactorial test’ (para 183):</w:t>
      </w:r>
    </w:p>
    <w:p w14:paraId="550E5F69" w14:textId="77777777" w:rsidR="00BB143A" w:rsidRDefault="00BB143A" w:rsidP="00BB143A">
      <w:pPr>
        <w:pStyle w:val="ListParagraph"/>
        <w:numPr>
          <w:ilvl w:val="1"/>
          <w:numId w:val="1"/>
        </w:numPr>
        <w:jc w:val="both"/>
      </w:pPr>
      <w:r>
        <w:t>focus on the concrete situation</w:t>
      </w:r>
    </w:p>
    <w:p w14:paraId="2999C520" w14:textId="77777777" w:rsidR="00BB143A" w:rsidRDefault="00BB143A" w:rsidP="00BB143A">
      <w:pPr>
        <w:pStyle w:val="ListParagraph"/>
        <w:numPr>
          <w:ilvl w:val="1"/>
          <w:numId w:val="1"/>
        </w:numPr>
        <w:jc w:val="both"/>
      </w:pPr>
      <w:proofErr w:type="gramStart"/>
      <w:r>
        <w:t>take into account</w:t>
      </w:r>
      <w:proofErr w:type="gramEnd"/>
      <w:r>
        <w:t xml:space="preserve"> ‘the whole range of factors’ in the </w:t>
      </w:r>
      <w:proofErr w:type="gramStart"/>
      <w:r>
        <w:t>particular case</w:t>
      </w:r>
      <w:proofErr w:type="gramEnd"/>
      <w:r>
        <w:t>, including</w:t>
      </w:r>
    </w:p>
    <w:p w14:paraId="42408D63" w14:textId="77777777" w:rsidR="00BB143A" w:rsidRDefault="00BB143A" w:rsidP="00BB143A">
      <w:pPr>
        <w:pStyle w:val="ListParagraph"/>
        <w:numPr>
          <w:ilvl w:val="2"/>
          <w:numId w:val="1"/>
        </w:numPr>
        <w:jc w:val="both"/>
      </w:pPr>
      <w:r>
        <w:t xml:space="preserve">type (of accommodation)  </w:t>
      </w:r>
    </w:p>
    <w:p w14:paraId="0FB99F0F" w14:textId="77777777" w:rsidR="00BB143A" w:rsidRDefault="00BB143A" w:rsidP="00BB143A">
      <w:pPr>
        <w:pStyle w:val="ListParagraph"/>
        <w:numPr>
          <w:ilvl w:val="2"/>
          <w:numId w:val="1"/>
        </w:numPr>
        <w:jc w:val="both"/>
      </w:pPr>
      <w:r>
        <w:t>duration (of situation)</w:t>
      </w:r>
    </w:p>
    <w:p w14:paraId="7F7CCE98" w14:textId="77777777" w:rsidR="00BB143A" w:rsidRDefault="00BB143A" w:rsidP="00BB143A">
      <w:pPr>
        <w:pStyle w:val="ListParagraph"/>
        <w:numPr>
          <w:ilvl w:val="2"/>
          <w:numId w:val="1"/>
        </w:numPr>
        <w:jc w:val="both"/>
      </w:pPr>
      <w:r>
        <w:t>effect (on person concerned)</w:t>
      </w:r>
    </w:p>
    <w:p w14:paraId="213780A8" w14:textId="77777777" w:rsidR="00BB143A" w:rsidRDefault="00BB143A" w:rsidP="00BB143A">
      <w:pPr>
        <w:pStyle w:val="ListParagraph"/>
        <w:numPr>
          <w:ilvl w:val="2"/>
          <w:numId w:val="1"/>
        </w:numPr>
        <w:jc w:val="both"/>
      </w:pPr>
      <w:r>
        <w:t>manner of implementation of measures in question</w:t>
      </w:r>
    </w:p>
    <w:p w14:paraId="4C1C71A3" w14:textId="77777777" w:rsidR="00BB143A" w:rsidRDefault="00BB143A" w:rsidP="00BB143A">
      <w:pPr>
        <w:pStyle w:val="ListParagraph"/>
        <w:numPr>
          <w:ilvl w:val="1"/>
          <w:numId w:val="1"/>
        </w:numPr>
        <w:jc w:val="both"/>
      </w:pPr>
      <w:r>
        <w:t>(para 187) confinement must be established as an objective fact and subjectively there must be an absence of valid consent</w:t>
      </w:r>
    </w:p>
    <w:p w14:paraId="27B1EE63" w14:textId="77777777" w:rsidR="00BB143A" w:rsidRDefault="00BB143A" w:rsidP="00BB143A">
      <w:pPr>
        <w:pStyle w:val="ListParagraph"/>
        <w:numPr>
          <w:ilvl w:val="2"/>
          <w:numId w:val="1"/>
        </w:numPr>
        <w:jc w:val="both"/>
      </w:pPr>
      <w:r>
        <w:t>coercion is ‘a necessary element’</w:t>
      </w:r>
    </w:p>
    <w:p w14:paraId="6E54ED31" w14:textId="542CBCB0" w:rsidR="00BB143A" w:rsidRDefault="00BB143A" w:rsidP="00BB143A">
      <w:pPr>
        <w:pStyle w:val="ListParagraph"/>
        <w:numPr>
          <w:ilvl w:val="2"/>
          <w:numId w:val="1"/>
        </w:numPr>
        <w:jc w:val="both"/>
      </w:pPr>
      <w:r>
        <w:t xml:space="preserve">‘normality’ of </w:t>
      </w:r>
      <w:r w:rsidR="0012326C">
        <w:t>circumstances is a relevant factor</w:t>
      </w:r>
    </w:p>
    <w:p w14:paraId="5FAA7612" w14:textId="30A26A94" w:rsidR="00BB143A" w:rsidRDefault="00BB143A" w:rsidP="00BB143A">
      <w:pPr>
        <w:pStyle w:val="ListParagraph"/>
        <w:numPr>
          <w:ilvl w:val="2"/>
          <w:numId w:val="1"/>
        </w:numPr>
        <w:jc w:val="both"/>
      </w:pPr>
      <w:r>
        <w:t xml:space="preserve">absence of objection makes it ‘difficult to conclude’ that there is dol </w:t>
      </w:r>
    </w:p>
    <w:p w14:paraId="1285A024" w14:textId="77777777" w:rsidR="00BB143A" w:rsidRDefault="00BB143A" w:rsidP="00BB143A">
      <w:pPr>
        <w:ind w:left="1980"/>
        <w:jc w:val="both"/>
      </w:pPr>
    </w:p>
    <w:p w14:paraId="54D1D1F5" w14:textId="3E0795BE" w:rsidR="00BB143A" w:rsidRDefault="00BB143A" w:rsidP="00BB143A">
      <w:pPr>
        <w:pStyle w:val="ListParagraph"/>
        <w:numPr>
          <w:ilvl w:val="0"/>
          <w:numId w:val="1"/>
        </w:numPr>
        <w:jc w:val="both"/>
      </w:pPr>
      <w:r>
        <w:t>What counts as ‘valid consent’?</w:t>
      </w:r>
    </w:p>
    <w:p w14:paraId="750CCC03" w14:textId="16DD2830" w:rsidR="00BB143A" w:rsidRDefault="0012326C" w:rsidP="00BB143A">
      <w:pPr>
        <w:pStyle w:val="ListParagraph"/>
        <w:numPr>
          <w:ilvl w:val="1"/>
          <w:numId w:val="1"/>
        </w:numPr>
        <w:jc w:val="both"/>
      </w:pPr>
      <w:r>
        <w:t xml:space="preserve">mental capacity to make decisions about residence and care arrangements (within the meaning of domestic law, ie MCA 2005) is </w:t>
      </w:r>
      <w:r w:rsidRPr="0012326C">
        <w:rPr>
          <w:u w:val="single"/>
        </w:rPr>
        <w:t>not</w:t>
      </w:r>
      <w:r>
        <w:t xml:space="preserve"> required (para 135)</w:t>
      </w:r>
    </w:p>
    <w:p w14:paraId="77571FB6" w14:textId="1703DD23" w:rsidR="0012326C" w:rsidRDefault="0012326C" w:rsidP="00BB143A">
      <w:pPr>
        <w:pStyle w:val="ListParagraph"/>
        <w:numPr>
          <w:ilvl w:val="1"/>
          <w:numId w:val="1"/>
        </w:numPr>
        <w:jc w:val="both"/>
      </w:pPr>
      <w:r>
        <w:lastRenderedPageBreak/>
        <w:t>‘sufficient awareness of circumstances in which they are maintained in confinement as to be able to register whether they are happy or unhappy with those circumstances and to enter protest against their treatment if they are unhappy with them’ (para 135)</w:t>
      </w:r>
    </w:p>
    <w:p w14:paraId="6D14F1AC" w14:textId="284D3889" w:rsidR="0012326C" w:rsidRDefault="0012326C" w:rsidP="0012326C">
      <w:pPr>
        <w:pStyle w:val="ListParagraph"/>
        <w:numPr>
          <w:ilvl w:val="2"/>
          <w:numId w:val="1"/>
        </w:numPr>
        <w:jc w:val="both"/>
      </w:pPr>
      <w:r>
        <w:t xml:space="preserve">This is ‘the dividing line’ </w:t>
      </w:r>
    </w:p>
    <w:p w14:paraId="55E91247" w14:textId="06E9BEB4" w:rsidR="0012326C" w:rsidRDefault="0012326C" w:rsidP="0012326C">
      <w:pPr>
        <w:pStyle w:val="ListParagraph"/>
        <w:numPr>
          <w:ilvl w:val="1"/>
          <w:numId w:val="1"/>
        </w:numPr>
        <w:jc w:val="both"/>
      </w:pPr>
      <w:r>
        <w:t>“..if they have a basic level of awareness and consciousness of their living arrangements that is sufficient to enable them to know and communicate whether they are happy or unhappy with them, they may be treated as able to give or withhold valid consent to confinement by an expression of their wishes and feelings’ (para 201)</w:t>
      </w:r>
    </w:p>
    <w:p w14:paraId="1D281D9B" w14:textId="715125C1" w:rsidR="0012326C" w:rsidRDefault="0012326C" w:rsidP="0012326C">
      <w:pPr>
        <w:pStyle w:val="ListParagraph"/>
        <w:numPr>
          <w:ilvl w:val="1"/>
          <w:numId w:val="1"/>
        </w:numPr>
        <w:jc w:val="both"/>
      </w:pPr>
      <w:r>
        <w:t>‘mere compliance or acquiescence …. is not enough’ (para 191)</w:t>
      </w:r>
    </w:p>
    <w:p w14:paraId="0CFE48CA" w14:textId="77777777" w:rsidR="008A3805" w:rsidRDefault="0012326C" w:rsidP="0012326C">
      <w:pPr>
        <w:pStyle w:val="ListParagraph"/>
        <w:numPr>
          <w:ilvl w:val="1"/>
          <w:numId w:val="1"/>
        </w:numPr>
        <w:jc w:val="both"/>
      </w:pPr>
      <w:r>
        <w:t>‘administration of medication … is likely to be highly relevant because it suppresses</w:t>
      </w:r>
      <w:r w:rsidR="008A3805">
        <w:t xml:space="preserve"> the ability and freedom to express wishes and feelings’ (para 188)</w:t>
      </w:r>
    </w:p>
    <w:p w14:paraId="0EAC84CC" w14:textId="77777777" w:rsidR="008A3805" w:rsidRDefault="008A3805" w:rsidP="0012326C">
      <w:pPr>
        <w:pStyle w:val="ListParagraph"/>
        <w:numPr>
          <w:ilvl w:val="1"/>
          <w:numId w:val="1"/>
        </w:numPr>
        <w:jc w:val="both"/>
      </w:pPr>
      <w:r>
        <w:t>The approach should be ‘practical and realistic (para 127)</w:t>
      </w:r>
    </w:p>
    <w:p w14:paraId="3A2E316F" w14:textId="2F9B09AA" w:rsidR="008A3805" w:rsidRDefault="008A3805" w:rsidP="008A3805">
      <w:pPr>
        <w:pStyle w:val="ListParagraph"/>
        <w:numPr>
          <w:ilvl w:val="2"/>
          <w:numId w:val="1"/>
        </w:numPr>
        <w:jc w:val="both"/>
      </w:pPr>
      <w:r>
        <w:t>where there is ‘serious doubt about their attitude’, no inference should be drawn</w:t>
      </w:r>
    </w:p>
    <w:p w14:paraId="1243ACDB" w14:textId="77777777" w:rsidR="008A3805" w:rsidRDefault="008A3805" w:rsidP="008A3805">
      <w:pPr>
        <w:jc w:val="both"/>
      </w:pPr>
    </w:p>
    <w:p w14:paraId="5FD4EC86" w14:textId="77777777" w:rsidR="008A3805" w:rsidRDefault="008A3805" w:rsidP="008A3805">
      <w:pPr>
        <w:jc w:val="both"/>
      </w:pPr>
    </w:p>
    <w:p w14:paraId="2F54334F" w14:textId="430F07C1" w:rsidR="0012326C" w:rsidRDefault="0012326C" w:rsidP="008A3805">
      <w:pPr>
        <w:jc w:val="right"/>
      </w:pPr>
      <w:r>
        <w:t xml:space="preserve"> </w:t>
      </w:r>
      <w:r w:rsidR="008A3805">
        <w:t>Carolyn Hilder</w:t>
      </w:r>
    </w:p>
    <w:p w14:paraId="218E351A" w14:textId="7056691B" w:rsidR="008A3805" w:rsidRPr="00BB143A" w:rsidRDefault="008A3805" w:rsidP="008A3805">
      <w:pPr>
        <w:jc w:val="right"/>
      </w:pPr>
      <w:r>
        <w:t>2/6/26</w:t>
      </w:r>
    </w:p>
    <w:sectPr w:rsidR="008A3805" w:rsidRPr="00BB14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02EC7"/>
    <w:multiLevelType w:val="hybridMultilevel"/>
    <w:tmpl w:val="6B4CA70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340" w:hanging="36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682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43A"/>
    <w:rsid w:val="0012326C"/>
    <w:rsid w:val="00137EA2"/>
    <w:rsid w:val="001922B0"/>
    <w:rsid w:val="002850F3"/>
    <w:rsid w:val="00723241"/>
    <w:rsid w:val="008A3805"/>
    <w:rsid w:val="00917658"/>
    <w:rsid w:val="00AD3585"/>
    <w:rsid w:val="00BB143A"/>
    <w:rsid w:val="00BE3F5A"/>
    <w:rsid w:val="00C15250"/>
    <w:rsid w:val="00E22DDB"/>
    <w:rsid w:val="00F3721E"/>
    <w:rsid w:val="00F77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A525B"/>
  <w15:chartTrackingRefBased/>
  <w15:docId w15:val="{F229F23E-95B3-4580-BD7E-F244FBF3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4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4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4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4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4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4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4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4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4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4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4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4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4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4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4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4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4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43A"/>
    <w:rPr>
      <w:rFonts w:eastAsiaTheme="majorEastAsia" w:cstheme="majorBidi"/>
      <w:color w:val="272727" w:themeColor="text1" w:themeTint="D8"/>
    </w:rPr>
  </w:style>
  <w:style w:type="paragraph" w:styleId="Title">
    <w:name w:val="Title"/>
    <w:basedOn w:val="Normal"/>
    <w:next w:val="Normal"/>
    <w:link w:val="TitleChar"/>
    <w:uiPriority w:val="10"/>
    <w:qFormat/>
    <w:rsid w:val="00BB14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4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4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4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43A"/>
    <w:pPr>
      <w:spacing w:before="160"/>
      <w:jc w:val="center"/>
    </w:pPr>
    <w:rPr>
      <w:i/>
      <w:iCs/>
      <w:color w:val="404040" w:themeColor="text1" w:themeTint="BF"/>
    </w:rPr>
  </w:style>
  <w:style w:type="character" w:customStyle="1" w:styleId="QuoteChar">
    <w:name w:val="Quote Char"/>
    <w:basedOn w:val="DefaultParagraphFont"/>
    <w:link w:val="Quote"/>
    <w:uiPriority w:val="29"/>
    <w:rsid w:val="00BB143A"/>
    <w:rPr>
      <w:i/>
      <w:iCs/>
      <w:color w:val="404040" w:themeColor="text1" w:themeTint="BF"/>
    </w:rPr>
  </w:style>
  <w:style w:type="paragraph" w:styleId="ListParagraph">
    <w:name w:val="List Paragraph"/>
    <w:basedOn w:val="Normal"/>
    <w:uiPriority w:val="34"/>
    <w:qFormat/>
    <w:rsid w:val="00BB143A"/>
    <w:pPr>
      <w:ind w:left="720"/>
      <w:contextualSpacing/>
    </w:pPr>
  </w:style>
  <w:style w:type="character" w:styleId="IntenseEmphasis">
    <w:name w:val="Intense Emphasis"/>
    <w:basedOn w:val="DefaultParagraphFont"/>
    <w:uiPriority w:val="21"/>
    <w:qFormat/>
    <w:rsid w:val="00BB143A"/>
    <w:rPr>
      <w:i/>
      <w:iCs/>
      <w:color w:val="0F4761" w:themeColor="accent1" w:themeShade="BF"/>
    </w:rPr>
  </w:style>
  <w:style w:type="paragraph" w:styleId="IntenseQuote">
    <w:name w:val="Intense Quote"/>
    <w:basedOn w:val="Normal"/>
    <w:next w:val="Normal"/>
    <w:link w:val="IntenseQuoteChar"/>
    <w:uiPriority w:val="30"/>
    <w:qFormat/>
    <w:rsid w:val="00BB14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43A"/>
    <w:rPr>
      <w:i/>
      <w:iCs/>
      <w:color w:val="0F4761" w:themeColor="accent1" w:themeShade="BF"/>
    </w:rPr>
  </w:style>
  <w:style w:type="character" w:styleId="IntenseReference">
    <w:name w:val="Intense Reference"/>
    <w:basedOn w:val="DefaultParagraphFont"/>
    <w:uiPriority w:val="32"/>
    <w:qFormat/>
    <w:rsid w:val="00BB143A"/>
    <w:rPr>
      <w:b/>
      <w:bCs/>
      <w:smallCaps/>
      <w:color w:val="0F4761" w:themeColor="accent1" w:themeShade="BF"/>
      <w:spacing w:val="5"/>
    </w:rPr>
  </w:style>
  <w:style w:type="character" w:styleId="Hyperlink">
    <w:name w:val="Hyperlink"/>
    <w:basedOn w:val="DefaultParagraphFont"/>
    <w:uiPriority w:val="99"/>
    <w:semiHidden/>
    <w:unhideWhenUsed/>
    <w:rsid w:val="008A3805"/>
    <w:rPr>
      <w:color w:val="0000FF"/>
      <w:u w:val="single"/>
    </w:rPr>
  </w:style>
  <w:style w:type="character" w:customStyle="1" w:styleId="v1apple-converted-space">
    <w:name w:val="v1apple-converted-space"/>
    <w:basedOn w:val="DefaultParagraphFont"/>
    <w:rsid w:val="008A3805"/>
  </w:style>
  <w:style w:type="character" w:styleId="Emphasis">
    <w:name w:val="Emphasis"/>
    <w:basedOn w:val="DefaultParagraphFont"/>
    <w:uiPriority w:val="20"/>
    <w:qFormat/>
    <w:rsid w:val="008A3805"/>
    <w:rPr>
      <w:i/>
      <w:iCs/>
    </w:rPr>
  </w:style>
  <w:style w:type="character" w:styleId="FollowedHyperlink">
    <w:name w:val="FollowedHyperlink"/>
    <w:basedOn w:val="DefaultParagraphFont"/>
    <w:uiPriority w:val="99"/>
    <w:semiHidden/>
    <w:unhideWhenUsed/>
    <w:rsid w:val="008A380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1.safelinks.protection.outlook.com/?url=https%3A%2F%2Fsupremecourt.uk%2Fcases%2Fuksc-2025-0042&amp;data=05%7C02%7Chhj.carolyn.hilder%40ejudiciary.net%7C349348fb66214407281908dec096d79e%7C723e45572f1743ed9e71f1beb253e546%7C0%7C0%7C639159951597512706%7CUnknown%7CTWFpbGZsb3d8eyJFbXB0eU1hcGkiOnRydWUsIlYiOiIwLjAuMDAwMCIsIlAiOiJXaW4zMiIsIkFOIjoiTWFpbCIsIldUIjoyfQ%3D%3D%7C0%7C%7C%7C&amp;sdata=2EVKAmU9QC2jnE8bfswDkZNIIgipD63CKC16Ik1tCis%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Hilder, HHJ</dc:creator>
  <cp:keywords/>
  <dc:description/>
  <cp:lastModifiedBy>Catherine Rowlands</cp:lastModifiedBy>
  <cp:revision>2</cp:revision>
  <dcterms:created xsi:type="dcterms:W3CDTF">2026-06-05T11:45:00Z</dcterms:created>
  <dcterms:modified xsi:type="dcterms:W3CDTF">2026-06-05T11:45:00Z</dcterms:modified>
</cp:coreProperties>
</file>